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77777777"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p>
    <w:p w14:paraId="0A808649" w14:textId="49BA51BF" w:rsidR="00BE42DF" w:rsidRDefault="00BE42DF" w:rsidP="00BE42DF">
      <w:pPr>
        <w:adjustRightInd w:val="0"/>
        <w:snapToGrid w:val="0"/>
        <w:ind w:firstLineChars="2300" w:firstLine="7360"/>
        <w:rPr>
          <w:spacing w:val="20"/>
          <w:sz w:val="28"/>
          <w:szCs w:val="28"/>
        </w:rPr>
      </w:pP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07466E51"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w:t>
      </w:r>
      <w:r w:rsidR="004A7534">
        <w:rPr>
          <w:rFonts w:ascii="ＭＳ ゴシック" w:eastAsia="ＭＳ ゴシック" w:hAnsi="ＭＳ ゴシック" w:hint="eastAsia"/>
          <w:b/>
          <w:bCs/>
          <w:szCs w:val="21"/>
        </w:rPr>
        <w:t>各加盟団体</w:t>
      </w:r>
      <w:r w:rsidRPr="00292D2E">
        <w:rPr>
          <w:rFonts w:ascii="ＭＳ ゴシック" w:eastAsia="ＭＳ ゴシック" w:hAnsi="ＭＳ ゴシック" w:hint="eastAsia"/>
          <w:b/>
          <w:bCs/>
          <w:szCs w:val="21"/>
        </w:rPr>
        <w:t>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2F3000EB" w14:textId="2B13F7FE"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 込 み</w:t>
      </w:r>
    </w:p>
    <w:p w14:paraId="0E73F70B" w14:textId="7754319D"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w:t>
      </w:r>
      <w:r w:rsidR="00F26F61">
        <w:rPr>
          <w:rFonts w:asciiTheme="majorEastAsia" w:eastAsiaTheme="majorEastAsia" w:hAnsiTheme="majorEastAsia" w:hint="eastAsia"/>
          <w:b/>
          <w:szCs w:val="21"/>
        </w:rPr>
        <w:t>団体</w:t>
      </w:r>
      <w:r w:rsidR="00A45CE6" w:rsidRPr="00292D2E">
        <w:rPr>
          <w:rFonts w:asciiTheme="majorEastAsia" w:eastAsiaTheme="majorEastAsia" w:hAnsiTheme="majorEastAsia" w:hint="eastAsia"/>
          <w:b/>
          <w:szCs w:val="21"/>
        </w:rPr>
        <w:t>を通じて申込むこと。</w:t>
      </w:r>
    </w:p>
    <w:p w14:paraId="05FBE1BB" w14:textId="3A457882" w:rsidR="00970005"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各</w:t>
      </w:r>
      <w:r w:rsidR="00F26F61">
        <w:rPr>
          <w:rFonts w:asciiTheme="minorEastAsia" w:hAnsiTheme="minorEastAsia" w:hint="eastAsia"/>
          <w:szCs w:val="21"/>
        </w:rPr>
        <w:t>加盟団体</w:t>
      </w:r>
      <w:r w:rsidRPr="00292D2E">
        <w:rPr>
          <w:rFonts w:asciiTheme="minorEastAsia" w:hAnsiTheme="minorEastAsia" w:hint="eastAsia"/>
          <w:szCs w:val="21"/>
        </w:rPr>
        <w:t>会長は、申込者を一括して本連盟会長宛に送付すること。</w:t>
      </w:r>
    </w:p>
    <w:p w14:paraId="12768B9C" w14:textId="04848A6B" w:rsidR="00A431A2" w:rsidRPr="000E2822" w:rsidRDefault="000D380E" w:rsidP="000E2822">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なお、個人直接の申込は受理しない。</w:t>
      </w:r>
    </w:p>
    <w:p w14:paraId="03CAB13D" w14:textId="77777777" w:rsidR="004751BA" w:rsidRDefault="00970005" w:rsidP="004751BA">
      <w:pPr>
        <w:adjustRightInd w:val="0"/>
        <w:snapToGrid w:val="0"/>
        <w:jc w:val="left"/>
        <w:rPr>
          <w:rFonts w:ascii="ＭＳ ゴシック" w:eastAsia="ＭＳ ゴシック" w:hAnsi="ＭＳ ゴシック"/>
          <w:szCs w:val="21"/>
        </w:rPr>
      </w:pPr>
      <w:r w:rsidRPr="00353FBC">
        <w:rPr>
          <w:rFonts w:asciiTheme="minorEastAsia" w:hAnsiTheme="minorEastAsia" w:hint="eastAsia"/>
          <w:szCs w:val="21"/>
        </w:rPr>
        <w:t xml:space="preserve">　　　　（2） 申込</w:t>
      </w:r>
      <w:r>
        <w:rPr>
          <w:rFonts w:asciiTheme="minorEastAsia" w:hAnsiTheme="minorEastAsia" w:hint="eastAsia"/>
          <w:szCs w:val="21"/>
        </w:rPr>
        <w:t>締切り</w:t>
      </w:r>
      <w:r w:rsidRPr="00353FBC">
        <w:rPr>
          <w:rFonts w:asciiTheme="minorEastAsia" w:hAnsiTheme="minorEastAsia" w:hint="eastAsia"/>
          <w:szCs w:val="21"/>
        </w:rPr>
        <w:t xml:space="preserve">　</w:t>
      </w:r>
      <w:r w:rsidR="004751BA">
        <w:rPr>
          <w:rFonts w:ascii="ＭＳ ゴシック" w:eastAsia="ＭＳ ゴシック" w:hAnsi="ＭＳ ゴシック" w:hint="eastAsia"/>
          <w:szCs w:val="21"/>
        </w:rPr>
        <w:t>〒168-0073　杉並区下高井戸1-3-14ハイムＭＹＭ201</w:t>
      </w:r>
    </w:p>
    <w:p w14:paraId="153F115E" w14:textId="11FE295C" w:rsidR="00970005" w:rsidRPr="00353FBC" w:rsidRDefault="004751BA" w:rsidP="004751BA">
      <w:pPr>
        <w:adjustRightInd w:val="0"/>
        <w:snapToGrid w:val="0"/>
        <w:ind w:firstLineChars="1900" w:firstLine="3990"/>
        <w:rPr>
          <w:rFonts w:asciiTheme="minorEastAsia" w:hAnsiTheme="minorEastAsia"/>
          <w:szCs w:val="21"/>
        </w:rPr>
      </w:pPr>
      <w:r>
        <w:rPr>
          <w:rFonts w:ascii="ＭＳ ゴシック" w:eastAsia="ＭＳ ゴシック" w:hAnsi="ＭＳ ゴシック" w:hint="eastAsia"/>
          <w:kern w:val="0"/>
          <w:szCs w:val="21"/>
        </w:rPr>
        <w:t>杉並区剣道連盟</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lastRenderedPageBreak/>
        <w:t>9. 審 査 料</w:t>
      </w:r>
    </w:p>
    <w:p w14:paraId="7E821C8B" w14:textId="181042C1" w:rsidR="00EC4492" w:rsidRPr="00292D2E" w:rsidRDefault="00E70DDD" w:rsidP="00EC4492">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1名につき</w:t>
      </w:r>
      <w:r w:rsidR="006A3EB7" w:rsidRPr="006A3EB7">
        <w:rPr>
          <w:rFonts w:ascii="ＭＳ ゴシック" w:eastAsia="ＭＳ ゴシック" w:hAnsi="ＭＳ ゴシック" w:hint="eastAsia"/>
          <w:szCs w:val="21"/>
        </w:rPr>
        <w:t>１６，０００</w:t>
      </w:r>
      <w:r w:rsidR="00EC4492" w:rsidRPr="006A3EB7">
        <w:rPr>
          <w:rFonts w:ascii="ＭＳ ゴシック" w:eastAsia="ＭＳ ゴシック" w:hAnsi="ＭＳ ゴシック" w:hint="eastAsia"/>
          <w:szCs w:val="21"/>
        </w:rPr>
        <w:t>円</w:t>
      </w: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F14684F"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w:t>
      </w:r>
      <w:r w:rsidR="000E2822">
        <w:rPr>
          <w:rFonts w:asciiTheme="minorEastAsia" w:hAnsiTheme="minorEastAsia" w:hint="eastAsia"/>
          <w:szCs w:val="21"/>
        </w:rPr>
        <w:t>東京都剣道連盟</w:t>
      </w:r>
      <w:r w:rsidRPr="00353FBC">
        <w:rPr>
          <w:rFonts w:asciiTheme="minorEastAsia" w:hAnsiTheme="minorEastAsia" w:hint="eastAsia"/>
          <w:szCs w:val="21"/>
        </w:rPr>
        <w:t>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55C8F0BC"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w:t>
      </w:r>
      <w:r w:rsidR="000E2822">
        <w:rPr>
          <w:rFonts w:ascii="ＭＳ 明朝" w:eastAsia="ＭＳ 明朝" w:hAnsi="ＭＳ 明朝" w:hint="eastAsia"/>
          <w:szCs w:val="21"/>
        </w:rPr>
        <w:t>加盟団体</w:t>
      </w:r>
      <w:r w:rsidR="00321FC8" w:rsidRPr="00292D2E">
        <w:rPr>
          <w:rFonts w:ascii="ＭＳ 明朝" w:eastAsia="ＭＳ 明朝" w:hAnsi="ＭＳ 明朝" w:hint="eastAsia"/>
          <w:szCs w:val="21"/>
        </w:rPr>
        <w:t>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6A743F6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w:t>
      </w:r>
      <w:r w:rsidR="00722EAC">
        <w:rPr>
          <w:rFonts w:asciiTheme="majorEastAsia" w:eastAsiaTheme="majorEastAsia" w:hAnsiTheme="majorEastAsia" w:hint="eastAsia"/>
          <w:b/>
          <w:szCs w:val="21"/>
        </w:rPr>
        <w:t>加盟団体</w:t>
      </w:r>
      <w:r w:rsidRPr="00970005">
        <w:rPr>
          <w:rFonts w:asciiTheme="majorEastAsia" w:eastAsiaTheme="majorEastAsia" w:hAnsiTheme="majorEastAsia" w:hint="eastAsia"/>
          <w:b/>
          <w:szCs w:val="21"/>
        </w:rPr>
        <w:t>へ案内通知を送りますので、そちらよりご登録ください。</w:t>
      </w:r>
    </w:p>
    <w:p w14:paraId="3E8A8AAF" w14:textId="25FF1820" w:rsidR="00251666" w:rsidRDefault="00251666" w:rsidP="00722EAC">
      <w:pPr>
        <w:adjustRightInd w:val="0"/>
        <w:snapToGrid w:val="0"/>
        <w:rPr>
          <w:rFonts w:asciiTheme="majorEastAsia" w:eastAsiaTheme="majorEastAsia" w:hAnsiTheme="majorEastAsia"/>
          <w:b/>
          <w:szCs w:val="21"/>
        </w:rPr>
      </w:pPr>
    </w:p>
    <w:p w14:paraId="6C56D8DB"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14.その他</w:t>
      </w:r>
    </w:p>
    <w:p w14:paraId="5ACA4437"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審査参加料払込後の返金については、4月9日(木)までに加盟団体を通じて理由を付した書面(FAX、</w:t>
      </w:r>
    </w:p>
    <w:p w14:paraId="1CA7D929"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メール可)を東京都剣道連盟宛に提出すること。</w:t>
      </w:r>
    </w:p>
    <w:p w14:paraId="6E42B1F0" w14:textId="7F78905C"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なお、返金額は本連盟の手数料7,019円、全剣連2,200円を差し引いて</w:t>
      </w:r>
      <w:r>
        <w:rPr>
          <w:rFonts w:asciiTheme="minorEastAsia" w:hAnsiTheme="minorEastAsia" w:hint="eastAsia"/>
          <w:bCs/>
          <w:szCs w:val="21"/>
        </w:rPr>
        <w:t>6</w:t>
      </w:r>
      <w:r w:rsidRPr="00B812B0">
        <w:rPr>
          <w:rFonts w:asciiTheme="minorEastAsia" w:hAnsiTheme="minorEastAsia" w:hint="eastAsia"/>
          <w:bCs/>
          <w:szCs w:val="21"/>
        </w:rPr>
        <w:t>,</w:t>
      </w:r>
      <w:r>
        <w:rPr>
          <w:rFonts w:asciiTheme="minorEastAsia" w:hAnsiTheme="minorEastAsia" w:hint="eastAsia"/>
          <w:bCs/>
          <w:szCs w:val="21"/>
        </w:rPr>
        <w:t>6</w:t>
      </w:r>
      <w:r w:rsidRPr="00B812B0">
        <w:rPr>
          <w:rFonts w:asciiTheme="minorEastAsia" w:hAnsiTheme="minorEastAsia" w:hint="eastAsia"/>
          <w:bCs/>
          <w:szCs w:val="21"/>
        </w:rPr>
        <w:t>00円を後日、加盟団体</w:t>
      </w:r>
    </w:p>
    <w:p w14:paraId="1448A01F" w14:textId="5BE62782" w:rsidR="00722EAC" w:rsidRPr="00722EAC"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へ返金する。</w:t>
      </w:r>
    </w:p>
    <w:sectPr w:rsidR="00722EAC" w:rsidRPr="00722EAC" w:rsidSect="00970005">
      <w:pgSz w:w="11906" w:h="16838" w:code="9"/>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9C49" w14:textId="77777777" w:rsidR="00780735" w:rsidRDefault="00780735" w:rsidP="005E0F5E">
      <w:r>
        <w:separator/>
      </w:r>
    </w:p>
  </w:endnote>
  <w:endnote w:type="continuationSeparator" w:id="0">
    <w:p w14:paraId="1EA4C1B0" w14:textId="77777777" w:rsidR="00780735" w:rsidRDefault="00780735"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AEC0" w14:textId="77777777" w:rsidR="00780735" w:rsidRDefault="00780735" w:rsidP="005E0F5E">
      <w:r>
        <w:separator/>
      </w:r>
    </w:p>
  </w:footnote>
  <w:footnote w:type="continuationSeparator" w:id="0">
    <w:p w14:paraId="1FA6BFD1" w14:textId="77777777" w:rsidR="00780735" w:rsidRDefault="00780735"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0E2822"/>
    <w:rsid w:val="00127564"/>
    <w:rsid w:val="00135088"/>
    <w:rsid w:val="00147781"/>
    <w:rsid w:val="00175FF2"/>
    <w:rsid w:val="001C2147"/>
    <w:rsid w:val="00251666"/>
    <w:rsid w:val="002610B7"/>
    <w:rsid w:val="00285E71"/>
    <w:rsid w:val="00292D2E"/>
    <w:rsid w:val="002937A5"/>
    <w:rsid w:val="00300D30"/>
    <w:rsid w:val="003032CB"/>
    <w:rsid w:val="00321FC8"/>
    <w:rsid w:val="00323698"/>
    <w:rsid w:val="00331F85"/>
    <w:rsid w:val="00364C7B"/>
    <w:rsid w:val="00374CEE"/>
    <w:rsid w:val="003D5E39"/>
    <w:rsid w:val="00453CD4"/>
    <w:rsid w:val="004751BA"/>
    <w:rsid w:val="004859F9"/>
    <w:rsid w:val="004A7534"/>
    <w:rsid w:val="00526C7B"/>
    <w:rsid w:val="00592AA6"/>
    <w:rsid w:val="005E0F5E"/>
    <w:rsid w:val="006473B4"/>
    <w:rsid w:val="006A3EB7"/>
    <w:rsid w:val="006D7F6C"/>
    <w:rsid w:val="00722EAC"/>
    <w:rsid w:val="00727F80"/>
    <w:rsid w:val="00762932"/>
    <w:rsid w:val="00780735"/>
    <w:rsid w:val="00781CB9"/>
    <w:rsid w:val="0078280E"/>
    <w:rsid w:val="007C4A3C"/>
    <w:rsid w:val="0083092E"/>
    <w:rsid w:val="00863040"/>
    <w:rsid w:val="008818CD"/>
    <w:rsid w:val="008960CB"/>
    <w:rsid w:val="00896A30"/>
    <w:rsid w:val="008E15C7"/>
    <w:rsid w:val="009164C4"/>
    <w:rsid w:val="009204CA"/>
    <w:rsid w:val="00925465"/>
    <w:rsid w:val="00925ABE"/>
    <w:rsid w:val="00970005"/>
    <w:rsid w:val="00A431A2"/>
    <w:rsid w:val="00A45CE6"/>
    <w:rsid w:val="00A71475"/>
    <w:rsid w:val="00AB03D8"/>
    <w:rsid w:val="00AB4F16"/>
    <w:rsid w:val="00AD536D"/>
    <w:rsid w:val="00AF598D"/>
    <w:rsid w:val="00B11966"/>
    <w:rsid w:val="00B4680C"/>
    <w:rsid w:val="00B96E5B"/>
    <w:rsid w:val="00BA06A3"/>
    <w:rsid w:val="00BC279A"/>
    <w:rsid w:val="00BC2FCF"/>
    <w:rsid w:val="00BE42DF"/>
    <w:rsid w:val="00BF54A2"/>
    <w:rsid w:val="00BF7EE0"/>
    <w:rsid w:val="00C606DD"/>
    <w:rsid w:val="00C74215"/>
    <w:rsid w:val="00CC04AA"/>
    <w:rsid w:val="00CF2412"/>
    <w:rsid w:val="00D142AF"/>
    <w:rsid w:val="00D4228E"/>
    <w:rsid w:val="00D56487"/>
    <w:rsid w:val="00DB30A6"/>
    <w:rsid w:val="00E12D56"/>
    <w:rsid w:val="00E25F04"/>
    <w:rsid w:val="00E70DDD"/>
    <w:rsid w:val="00EC4492"/>
    <w:rsid w:val="00EE6303"/>
    <w:rsid w:val="00F26F61"/>
    <w:rsid w:val="00F4490C"/>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剣道連盟 杉並区</cp:lastModifiedBy>
  <cp:revision>4</cp:revision>
  <cp:lastPrinted>2025-01-17T06:52:00Z</cp:lastPrinted>
  <dcterms:created xsi:type="dcterms:W3CDTF">2026-01-28T12:55:00Z</dcterms:created>
  <dcterms:modified xsi:type="dcterms:W3CDTF">2026-01-28T12:56:00Z</dcterms:modified>
</cp:coreProperties>
</file>